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（被害者）○○○○（以下「甲」という。）と（加害者）○○○○（以下「乙」という。）は、下記火災（以下「本件火災」という。）に関し、次のとおり覚書（以下「本覚書」という。）を締結する。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令和○年○月○日午後○時○分頃、乙所有の乙宅において乙が石油ストーブを転倒させた重大な過失により出火し、隣接する甲所有の甲宅の屋根及び壁面の一部を破損させた。</w:t>
      </w:r>
    </w:p>
    <w:p>
      <w:pPr>
        <w:spacing w:line="276" w:lineRule="auto"/>
        <w:jc w:val="right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本件火災によって甲に発生した損害を、乙が賠償する内容の示談をすることとなった。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第１条（示談金の支払い）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乙は、甲に対し、本件火災の示談金として、既払金のほか金○○円の支払義務があることを認める。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乙は、甲に対し、前項の金員を、令和○年○月○日限り、甲の指定する以下の振込口座に振り込む方法で支払う（振込手数料 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甲及び乙は、相手方に対するその余の請求をそれぞれ放棄し、本件火災につき、本覚書に定めるほか、何らの債権債務がないことを相互に確認する。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2022-02-17T09:49:00Z</dcterms:modified>
</cp:coreProperties>
</file>