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親権者の変更を行う必要が生じた。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第１条（親権者の変更）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令和○年○月○日より、長男○○及び次男○○は甲が引き取り養育する。なお、甲の乙に対する養育費の支払いは停止する。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第２条（親権変更の申立て）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甲は、○○家庭裁判所に、長男○○及び次男○○の親権者を甲に変更する旨の調停の申立てを行う。乙は、上記親権者変更調停に協力する。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2022-02-17T23:50:00Z</dcterms:modified>
</cp:coreProperties>
</file>