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 w:hint="eastAsia"/>
          <w:b/>
          <w:bCs/>
          <w:sz w:val="40"/>
          <w:szCs w:val="44"/>
        </w:rPr>
        <w:t>覚　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○○○○（以下「甲」という。）と○○○○（以下「乙」という。）は、以下の事情があったことから、次のとおり覚書（以下「本覚書」という。）を締結する。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【事情】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乙宅のベランダから甲宅の屋内が見えることから、甲乙協議のうえで解決に向けた方法を定めることとした。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第１条（目隠し設置義務）</w:t>
      </w:r>
    </w:p>
    <w:p>
      <w:pPr>
        <w:spacing w:line="276" w:lineRule="auto"/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乙は、乙宅の２階東側のベランダに目隠しを設置する。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第２条（協議解決）</w:t>
      </w:r>
    </w:p>
    <w:p>
      <w:pPr>
        <w:spacing w:line="276" w:lineRule="auto"/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甲及び乙は、上記事情に関して、誠実に協議して解決する。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本覚書締結の証として、本覚書２通を作成し、甲乙相互に署名又は記名・捺印のうえ、各１通を保有することとする。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2022-02-18T04:43:00Z</dcterms:modified>
</cp:coreProperties>
</file>