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覚　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○○○○（以下「甲」という。）と○○○○（以下「乙」という。）は、乙宅から発するにおいに関し、以下の事情があったことから、次のとおり覚書（以下「本覚書」という。）を締結する。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乙所有のペットのにおいが、甲宅まで悪影響を及ぼしていることから、甲乙協議のうえで解決に向けた方法を定めることとした。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第１条（悪臭防止義務）</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乙は、乙所有のペットのにおいが甲宅に迷惑をかけていることを謝罪し、ペットの排泄物等によるにおいの発生を防止する義務を負っていることを確認する。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第２条（協議解決）</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甲及び乙は、乙のペットのにおいに関して疑義が生じたときは、誠実に協議して解決する。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2022-02-18T04:41:00Z</dcterms:modified>
</cp:coreProperties>
</file>